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A1" w:rsidRPr="00A87759" w:rsidRDefault="00466232" w:rsidP="001351CC">
      <w:pPr>
        <w:spacing w:after="240"/>
        <w:jc w:val="both"/>
        <w:rPr>
          <w:rFonts w:cs="Calibri"/>
          <w:b/>
          <w:sz w:val="20"/>
        </w:rPr>
      </w:pPr>
      <w:r w:rsidRPr="00A87759">
        <w:rPr>
          <w:rFonts w:cs="Calibri"/>
          <w:b/>
          <w:sz w:val="20"/>
        </w:rPr>
        <w:t>Załącznik nr 2c</w:t>
      </w:r>
      <w:r w:rsidR="001E2DB9" w:rsidRPr="00A87759">
        <w:rPr>
          <w:rFonts w:cs="Calibri"/>
          <w:b/>
          <w:sz w:val="20"/>
        </w:rPr>
        <w:t xml:space="preserve"> </w:t>
      </w:r>
      <w:r w:rsidR="001351CC" w:rsidRPr="00A87759">
        <w:rPr>
          <w:rFonts w:cs="Calibri"/>
          <w:b/>
          <w:sz w:val="20"/>
        </w:rPr>
        <w:t>- umowa</w:t>
      </w:r>
      <w:r w:rsidR="001E2DB9" w:rsidRPr="00A87759">
        <w:rPr>
          <w:rFonts w:cs="Calibri"/>
          <w:b/>
          <w:sz w:val="20"/>
        </w:rPr>
        <w:t xml:space="preserve"> o przyznanie wsparcia finansowego na założenie przedsiębiorstwa społecznego poprzez przekształcenie podmiotu ekonomii społecznej (w tym organizacji pozarządowej  prowadzącej odpłatną i nieodpłatną działalność pożytku publicznego) w przedsiębiorstwo społec</w:t>
      </w:r>
      <w:r w:rsidR="00E8031A">
        <w:rPr>
          <w:rFonts w:cs="Calibri"/>
          <w:b/>
          <w:sz w:val="20"/>
        </w:rPr>
        <w:t>zne</w:t>
      </w:r>
    </w:p>
    <w:p w:rsidR="00420E88" w:rsidRPr="00AA0C08" w:rsidRDefault="00420E88" w:rsidP="00420E8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420E88" w:rsidRPr="00AA0C08" w:rsidRDefault="00420E88" w:rsidP="00420E8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 POPRZEZ PRZEKSZTAŁCENIE PODMIOTU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420E88" w:rsidRPr="00AA0C08" w:rsidRDefault="00420E88" w:rsidP="009872E7">
      <w:pPr>
        <w:spacing w:after="240"/>
        <w:jc w:val="center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420E88" w:rsidRPr="00AA0C08" w:rsidRDefault="00420E88" w:rsidP="00420E88">
      <w:pPr>
        <w:rPr>
          <w:rFonts w:cs="Calibri"/>
          <w:b/>
          <w:bCs/>
        </w:rPr>
      </w:pPr>
    </w:p>
    <w:p w:rsidR="00420E88" w:rsidRPr="00AA0C08" w:rsidRDefault="00420E88" w:rsidP="00420E8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…………………..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420E88" w:rsidRPr="00AA0C08" w:rsidRDefault="00420E88" w:rsidP="00420E8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420E88" w:rsidRPr="00AA0C08" w:rsidRDefault="00420E88" w:rsidP="00420E8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420E88" w:rsidRPr="00AA0C08" w:rsidRDefault="00420E88" w:rsidP="00420E8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...................................................................................................</w:t>
      </w: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420E88" w:rsidRPr="00AA0C08" w:rsidRDefault="00420E88" w:rsidP="00420E88">
      <w:pPr>
        <w:spacing w:line="252" w:lineRule="auto"/>
        <w:rPr>
          <w:rFonts w:cs="Calibri"/>
        </w:rPr>
      </w:pPr>
    </w:p>
    <w:p w:rsidR="00420E88" w:rsidRPr="00AA0C08" w:rsidRDefault="00420E88" w:rsidP="00420E8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420E88" w:rsidRPr="00AA0C08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420E88" w:rsidRPr="009872E7" w:rsidRDefault="00420E88" w:rsidP="009872E7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8D3786" w:rsidRDefault="00420E88" w:rsidP="008D3786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Założenie przedsiębiorstwa społecznego następuje poprzez przekształcenie podmiotu ekonomii społecznej, w tym organizacji pozarządowej prowadzącej odpłatną </w:t>
      </w:r>
      <w:r>
        <w:rPr>
          <w:rFonts w:cs="Calibri"/>
        </w:rPr>
        <w:br/>
      </w:r>
      <w:r w:rsidRPr="00AA0C08">
        <w:rPr>
          <w:rFonts w:cs="Calibri"/>
        </w:rPr>
        <w:t xml:space="preserve">i nieodpłatną działalność pożytku publicznego w przedsiębiorstwo społeczne </w:t>
      </w:r>
      <w:r>
        <w:rPr>
          <w:rFonts w:cs="Calibri"/>
        </w:rPr>
        <w:br/>
      </w:r>
      <w:r w:rsidRPr="00AA0C08">
        <w:rPr>
          <w:rFonts w:cs="Calibri"/>
        </w:rPr>
        <w:t xml:space="preserve">. </w:t>
      </w:r>
      <w:r w:rsidR="008D3786">
        <w:rPr>
          <w:rFonts w:cs="Calibri"/>
        </w:rPr>
        <w:t xml:space="preserve">Powyższe następuje poprzez utworzenie miejsc pracy i zatrudnienie na nich osób, o których mowa w §2 ust. 2 niniejszej umowy. Rozpoczęcie działalności w formie </w:t>
      </w:r>
      <w:r w:rsidR="008D3786">
        <w:rPr>
          <w:rFonts w:cs="Calibri"/>
        </w:rPr>
        <w:lastRenderedPageBreak/>
        <w:t>przedsiębiorstwa społecznego powinno nastąpić nie później niż miesiąc od uzyskania ostatecznej informacji o przyznaniu wsparcia finansowego</w:t>
      </w:r>
      <w:r w:rsidR="008D3786">
        <w:rPr>
          <w:rStyle w:val="Odwoanieprzypisudolnego"/>
          <w:rFonts w:cs="Calibri"/>
        </w:rPr>
        <w:footnoteReference w:id="2"/>
      </w:r>
      <w:r w:rsidR="008D3786">
        <w:rPr>
          <w:rFonts w:cs="Calibri"/>
        </w:rPr>
        <w:t>.</w:t>
      </w:r>
    </w:p>
    <w:p w:rsidR="00233164" w:rsidRDefault="008D3786">
      <w:pPr>
        <w:ind w:left="709" w:hanging="349"/>
        <w:jc w:val="both"/>
        <w:rPr>
          <w:rFonts w:cs="Calibri"/>
        </w:rPr>
      </w:pPr>
      <w:r>
        <w:rPr>
          <w:rFonts w:cs="Calibri"/>
        </w:rPr>
        <w:t>2a Podmiot ekonomii społecznej jest zobligowany do przedłożenia do OWES dokumentu    potwierdzającego złożenie wniosku o zmianę danych w KRS w zakresie przekształcenia w przedsiębiorstwo społeczne. Wypłata wsparcia inwestycyjnego nastąpi po przedłożeniu dokumentów, o których mowa w niniejszym ustępie</w:t>
      </w:r>
      <w:r>
        <w:rPr>
          <w:rStyle w:val="Odwoanieprzypisudolnego"/>
          <w:rFonts w:cs="Calibri"/>
        </w:rPr>
        <w:footnoteReference w:id="3"/>
      </w:r>
      <w:r>
        <w:rPr>
          <w:rFonts w:cs="Calibri"/>
        </w:rPr>
        <w:t>.</w:t>
      </w:r>
    </w:p>
    <w:p w:rsidR="00233164" w:rsidRDefault="008D3786">
      <w:pPr>
        <w:ind w:left="709" w:hanging="349"/>
        <w:jc w:val="both"/>
        <w:rPr>
          <w:rFonts w:cs="Calibri"/>
        </w:rPr>
      </w:pPr>
      <w:r>
        <w:rPr>
          <w:rFonts w:cs="Calibri"/>
        </w:rPr>
        <w:t xml:space="preserve">2b Przedsiębiorstwo społeczne jest zobligowane do aktualizacji danych w KRS a następnie do dostarczenia OWES aktualnego odpisu z tego rejestru najpóźniej w dniu wypłaty ostatniej transzy wsparcia pomostowego (data otrzymania środków przez przedsiębiorstwo </w:t>
      </w:r>
      <w:r w:rsidR="005410F9">
        <w:rPr>
          <w:rFonts w:cs="Calibri"/>
        </w:rPr>
        <w:t>społeczne) pod rygorem rozwiązania umowy i zwroty otrzymanego wsparcia zgodnie z zapisami §7 ust. 2 pkt. 5 oraz ust. 3 niniejszej umowy</w:t>
      </w:r>
      <w:r w:rsidR="005410F9">
        <w:rPr>
          <w:rStyle w:val="Odwoanieprzypisudolnego"/>
          <w:rFonts w:cs="Calibri"/>
        </w:rPr>
        <w:footnoteReference w:id="4"/>
      </w:r>
      <w:r w:rsidR="005410F9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>Wsparcie finansowe polega na udzieleniu przedsiębiorstwu społecznemu</w:t>
      </w:r>
      <w:r w:rsidR="005410F9">
        <w:rPr>
          <w:rStyle w:val="Odwoanieprzypisudolnego"/>
          <w:rFonts w:cs="Calibri"/>
        </w:rPr>
        <w:footnoteReference w:id="5"/>
      </w:r>
      <w:r w:rsidRPr="00AA0C08">
        <w:rPr>
          <w:rFonts w:cs="Calibri"/>
        </w:rPr>
        <w:t xml:space="preserve"> wsparcia kapitałowego, o które wnioskuje podmiot ekonomii społecznej ułatwiającego sfinansowanie wydatków związanych z utworzeniem nowego/nowych miejsc pracy po przekształceniu się w przedsiębiorstwo społeczne.</w:t>
      </w:r>
      <w:r w:rsidR="005410F9">
        <w:rPr>
          <w:rFonts w:cs="Calibri"/>
        </w:rPr>
        <w:t xml:space="preserve"> Wsparcie finansowe </w:t>
      </w:r>
      <w:r w:rsidR="00C21F4E">
        <w:rPr>
          <w:rFonts w:cs="Calibri"/>
        </w:rPr>
        <w:t>udzielane jest zgodnie z Wnioskiem o przyznanie wsparcia finansowego na utworzenie nowego/nowych miejsc pracy w istniejących przedsiębiorstwach społecznych, stanowiącym załącznik do niniejszej Umowy, zwanego dalej „Wnioskiem”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udzielane jest w oparciu o zasadę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>, zgodnie z § 10 ust. 1 Rozporządzenia Ministra Infrastruktury i Rozwoju z dnia 2 lipca 2015 r. w sprawie udzielania pomocy de minimis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420E88" w:rsidRPr="00AA0C08" w:rsidRDefault="00420E88" w:rsidP="009872E7">
      <w:pPr>
        <w:numPr>
          <w:ilvl w:val="0"/>
          <w:numId w:val="2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420E88" w:rsidRPr="00CE2074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 xml:space="preserve">Beneficjent przyznaje przedsiębiorstwu społecznemu wsparcie finansowe w łącznej kwocie </w:t>
      </w:r>
      <w:r>
        <w:rPr>
          <w:rFonts w:cs="Calibri"/>
        </w:rPr>
        <w:t xml:space="preserve">netto </w:t>
      </w:r>
      <w:r w:rsidR="009872E7">
        <w:rPr>
          <w:rFonts w:cs="Calibri"/>
        </w:rPr>
        <w:t xml:space="preserve">…………………….PLN </w:t>
      </w:r>
      <w:r w:rsidRPr="00AA0C08">
        <w:rPr>
          <w:rFonts w:cs="Calibri"/>
        </w:rPr>
        <w:t>(słownie:…………………………</w:t>
      </w:r>
      <w:r w:rsidR="009872E7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…………………….. złotych).</w:t>
      </w:r>
    </w:p>
    <w:p w:rsidR="00420E88" w:rsidRPr="00AA0C08" w:rsidRDefault="00420E88" w:rsidP="009872E7">
      <w:pPr>
        <w:ind w:left="709" w:hanging="425"/>
        <w:jc w:val="both"/>
        <w:rPr>
          <w:rFonts w:cs="Calibri"/>
        </w:rPr>
      </w:pPr>
      <w:r>
        <w:rPr>
          <w:rFonts w:cs="Calibri"/>
        </w:rPr>
        <w:lastRenderedPageBreak/>
        <w:t xml:space="preserve">1a. Wsparcie finansowe udzielone jest na pokrycie wydatków na przekształcenie podmiotu ekonomii społecznej w przedsiębiorstwo społeczne szczegółowo opisanych w sekcji 5.3.5 </w:t>
      </w:r>
      <w:r w:rsidRPr="00355828">
        <w:rPr>
          <w:rFonts w:cs="Calibri"/>
          <w:i/>
        </w:rPr>
        <w:t xml:space="preserve">Zasad udzielania wsparcia na tworzenie nowych miejsc pracy </w:t>
      </w:r>
      <w:r w:rsidR="009872E7">
        <w:rPr>
          <w:rFonts w:cs="Calibri"/>
          <w:i/>
        </w:rPr>
        <w:br/>
      </w:r>
      <w:r w:rsidRPr="00355828">
        <w:rPr>
          <w:rFonts w:cs="Calibri"/>
          <w:i/>
        </w:rPr>
        <w:t>w przedsiębiorstwach społecznych w ramach działania 8.3 Wsparcie podmiotów ekonomii społecznej RPO WO 2014-2020</w:t>
      </w:r>
      <w:r>
        <w:rPr>
          <w:rFonts w:cs="Calibri"/>
          <w:i/>
        </w:rPr>
        <w:t>.</w:t>
      </w:r>
    </w:p>
    <w:p w:rsidR="00420E88" w:rsidRPr="00AA0C08" w:rsidRDefault="00420E88" w:rsidP="009872E7">
      <w:pPr>
        <w:numPr>
          <w:ilvl w:val="0"/>
          <w:numId w:val="3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Na kwotę</w:t>
      </w:r>
      <w:r w:rsidRPr="005D5125">
        <w:rPr>
          <w:rFonts w:cs="Calibri"/>
        </w:rPr>
        <w:t xml:space="preserve"> </w:t>
      </w:r>
      <w:r>
        <w:rPr>
          <w:rFonts w:cs="Calibri"/>
        </w:rPr>
        <w:t>netto</w:t>
      </w:r>
      <w:r w:rsidRPr="00AA0C08">
        <w:rPr>
          <w:rFonts w:cs="Calibri"/>
        </w:rPr>
        <w:t xml:space="preserve"> wsparcia finansowego udzielanego przedsiębiorstwu społecznemu składają się kwoty</w:t>
      </w:r>
      <w:r>
        <w:rPr>
          <w:rFonts w:cs="Calibri"/>
        </w:rPr>
        <w:t xml:space="preserve"> </w:t>
      </w:r>
      <w:r w:rsidRPr="00AA0C08">
        <w:rPr>
          <w:rFonts w:cs="Calibri"/>
        </w:rPr>
        <w:t>na rzecz: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………………………………………….</w:t>
      </w:r>
      <w:r w:rsidR="009872E7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9872E7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420E88" w:rsidRPr="00AA0C08" w:rsidRDefault="00420E88" w:rsidP="009872E7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3.………………………………………….</w:t>
      </w:r>
      <w:r w:rsidRPr="00AA0C08">
        <w:rPr>
          <w:rFonts w:cs="Calibri"/>
          <w:i/>
        </w:rPr>
        <w:t xml:space="preserve"> dane osoby zatrudnianej </w:t>
      </w:r>
      <w:r w:rsidR="009872E7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Pr="00AA0C08">
        <w:rPr>
          <w:rFonts w:cs="Calibri"/>
        </w:rPr>
        <w:t>w wysokości……………………. PLN (słownie:…………………………………………………………… złotych).</w:t>
      </w:r>
    </w:p>
    <w:p w:rsidR="00420E88" w:rsidRPr="00AA0C08" w:rsidRDefault="00420E88" w:rsidP="009872E7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Wsparcie finansowe, o którym mowa w ust. 1, zostanie wypłacone przez Beneficjenta na rachunek przedsiębiorstwa społecznego, o którym mowa w ust.</w:t>
      </w:r>
      <w:r>
        <w:rPr>
          <w:rFonts w:cs="Calibri"/>
        </w:rPr>
        <w:t>9</w:t>
      </w:r>
      <w:r w:rsidRPr="00AA0C08">
        <w:rPr>
          <w:rFonts w:cs="Calibri"/>
        </w:rPr>
        <w:t>, w następujący sposób: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weryfikacji prawidłowości wydatkowania I transzy, dokona wypłaty II transzy w postaci pozostałej części wsparcia finansowego, lub</w:t>
      </w:r>
    </w:p>
    <w:p w:rsidR="00420E88" w:rsidRPr="00AA0C08" w:rsidRDefault="00420E88" w:rsidP="009872E7">
      <w:pPr>
        <w:numPr>
          <w:ilvl w:val="3"/>
          <w:numId w:val="4"/>
        </w:numPr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6"/>
      </w:r>
    </w:p>
    <w:p w:rsidR="00420E88" w:rsidRPr="00AA0C08" w:rsidRDefault="00420E88" w:rsidP="009872E7">
      <w:pPr>
        <w:numPr>
          <w:ilvl w:val="0"/>
          <w:numId w:val="6"/>
        </w:numPr>
        <w:spacing w:line="259" w:lineRule="auto"/>
        <w:ind w:left="641" w:hanging="357"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z przepisami obowiązującego prawa, w tym w szczególności </w:t>
      </w:r>
      <w:r>
        <w:rPr>
          <w:rFonts w:cs="Calibri"/>
        </w:rPr>
        <w:t>ustawy</w:t>
      </w:r>
      <w:r w:rsidRPr="00817099">
        <w:rPr>
          <w:rFonts w:cs="Calibri"/>
        </w:rPr>
        <w:t xml:space="preserve"> z dnia 6 marca 2018 r. Prawo Przedsiębiorców (Dz. U. z </w:t>
      </w:r>
      <w:r w:rsidR="00C21F4E">
        <w:rPr>
          <w:rFonts w:cs="Calibri"/>
        </w:rPr>
        <w:t>2019</w:t>
      </w:r>
      <w:r w:rsidR="00C21F4E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C21F4E">
        <w:rPr>
          <w:rFonts w:cs="Calibri"/>
        </w:rPr>
        <w:t>1292</w:t>
      </w:r>
      <w:r w:rsidRPr="00817099">
        <w:rPr>
          <w:rFonts w:cs="Calibri"/>
        </w:rPr>
        <w:t>)</w:t>
      </w:r>
      <w:r>
        <w:rPr>
          <w:rFonts w:cs="Calibri"/>
        </w:rPr>
        <w:t xml:space="preserve">, </w:t>
      </w:r>
      <w:r w:rsidRPr="00AA0C08">
        <w:rPr>
          <w:rFonts w:cs="Calibri"/>
        </w:rPr>
        <w:t xml:space="preserve">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>de minimis.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20"/>
        </w:numPr>
        <w:tabs>
          <w:tab w:val="num" w:pos="709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lastRenderedPageBreak/>
        <w:t>Przedsiębiorstwo społeczne zobowiązane jest przechowywać dokumentację związaną z otrzymanym wsparciem finansowym przez okres 10 lat, licząc od dnia podpisania niniejszej Umowy.</w:t>
      </w:r>
    </w:p>
    <w:p w:rsidR="00420E88" w:rsidRPr="00AA0C08" w:rsidRDefault="00420E88" w:rsidP="009872E7">
      <w:pPr>
        <w:numPr>
          <w:ilvl w:val="0"/>
          <w:numId w:val="20"/>
        </w:numPr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</w:t>
      </w:r>
      <w:r w:rsidR="009872E7">
        <w:rPr>
          <w:rFonts w:cs="Calibri"/>
        </w:rPr>
        <w:t xml:space="preserve">kich, nr………………………..……….... </w:t>
      </w:r>
      <w:r w:rsidRPr="00AA0C08">
        <w:rPr>
          <w:rFonts w:cs="Calibri"/>
        </w:rPr>
        <w:t>w banku.....................................................................</w:t>
      </w:r>
    </w:p>
    <w:p w:rsidR="00420E88" w:rsidRPr="00AA0C08" w:rsidRDefault="00420E88" w:rsidP="00420E88">
      <w:pPr>
        <w:tabs>
          <w:tab w:val="left" w:pos="709"/>
        </w:tabs>
        <w:ind w:left="2114" w:hanging="703"/>
        <w:rPr>
          <w:rFonts w:cs="Calibri"/>
        </w:rPr>
      </w:pPr>
    </w:p>
    <w:p w:rsidR="00420E88" w:rsidRPr="00AA0C08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420E88" w:rsidRPr="009872E7" w:rsidRDefault="00420E88" w:rsidP="009872E7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w tym zakresie.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okoliczności, o których mowa w ust. 5, Beneficjent może rozwiązać Umowę zgodnie z § 7. 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utrzymania nowych miejsc pracy przez okres co najmniej 12 miesięcy liczonych od dnia utworzenia miejsca pracy.</w:t>
      </w:r>
    </w:p>
    <w:p w:rsidR="00420E88" w:rsidRPr="008B0A7B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103CBD">
        <w:rPr>
          <w:rFonts w:cs="Calibri"/>
        </w:rPr>
        <w:t xml:space="preserve">W przypadku zakończenia stosunku pracy w przedsiębiorstwie społecznym z daną osobą możliwe jest </w:t>
      </w:r>
      <w:r w:rsidRPr="00633EFD">
        <w:rPr>
          <w:rFonts w:cs="Calibri"/>
        </w:rPr>
        <w:t>zatrudnienie na to miejsce nowego pracownika, przy czym osoba ta przejmuje wsparc</w:t>
      </w:r>
      <w:r w:rsidRPr="008B0A7B">
        <w:rPr>
          <w:rFonts w:cs="Calibri"/>
        </w:rPr>
        <w:t xml:space="preserve">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9872E7">
        <w:rPr>
          <w:rFonts w:cs="Calibri"/>
        </w:rPr>
        <w:br/>
      </w:r>
      <w:r w:rsidRPr="008B0A7B">
        <w:rPr>
          <w:rFonts w:cs="Calibri"/>
        </w:rPr>
        <w:t>a zatrudnieniem kolejnej przekroczy 30 dni zastosowanie mają zapisy ust. 10.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>Zakończenie stosunku pracy w przedsiębiorstwie społecznym, o którym mowa w ust. 8 może nastąpić wyłącznie z przyczyn leżących po stronie pracownika.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 w:rsidR="009872E7">
        <w:rPr>
          <w:rFonts w:cs="Calibri"/>
        </w:rPr>
        <w:br/>
      </w:r>
      <w:r w:rsidRPr="00AA0C08">
        <w:rPr>
          <w:rFonts w:cs="Calibri"/>
        </w:rPr>
        <w:t>i obowiązkowego utrzymania w przedsiębiorstwie społecznym takiej osoby na stanowisku pracy przez okres dopełniający do 12 miesięcy, tj. 12 miesięcy pomniejszonych o liczbę miesięcy zatrudnienia osoby, która zrezygnowała z pracy, liczonych od dnia podpisania ww. aneksu.</w:t>
      </w:r>
    </w:p>
    <w:p w:rsidR="00420E88" w:rsidRPr="00AA0C08" w:rsidRDefault="00420E88" w:rsidP="009872E7">
      <w:pPr>
        <w:numPr>
          <w:ilvl w:val="0"/>
          <w:numId w:val="5"/>
        </w:numPr>
        <w:tabs>
          <w:tab w:val="clear" w:pos="1070"/>
          <w:tab w:val="num" w:pos="709"/>
          <w:tab w:val="num" w:pos="2340"/>
        </w:tabs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</w:t>
      </w:r>
      <w:r>
        <w:rPr>
          <w:rFonts w:cs="Calibri"/>
        </w:rPr>
        <w:t xml:space="preserve">zobowiązuje się </w:t>
      </w:r>
      <w:r w:rsidRPr="00AA0C08">
        <w:rPr>
          <w:rFonts w:cs="Calibri"/>
        </w:rPr>
        <w:t>do z</w:t>
      </w:r>
      <w:r>
        <w:rPr>
          <w:rFonts w:cs="Calibri"/>
        </w:rPr>
        <w:t>achowania</w:t>
      </w:r>
      <w:r w:rsidRPr="00AA0C08">
        <w:rPr>
          <w:rFonts w:cs="Calibri"/>
        </w:rPr>
        <w:t xml:space="preserve"> trwałości, tj. spełnienia łącznie wszystkich cech PS, przez okres obowiązywania umowy o udzielenie dotacji oraz zapewnienia, iż przed upływem 3 lat od zakończenia wsparcia w projekcie, </w:t>
      </w:r>
      <w:r w:rsidRPr="00AA0C08">
        <w:rPr>
          <w:rFonts w:cs="Calibri"/>
        </w:rPr>
        <w:lastRenderedPageBreak/>
        <w:t xml:space="preserve">podmiot nie przekształci się w podmiot gospodarczy niespełniający definicji PES, </w:t>
      </w:r>
      <w:r w:rsidR="009872E7">
        <w:rPr>
          <w:rFonts w:cs="Calibri"/>
        </w:rPr>
        <w:br/>
      </w:r>
      <w:r w:rsidRPr="00AA0C08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420E88" w:rsidRPr="009872E7" w:rsidRDefault="00420E88" w:rsidP="009872E7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wydatkowania wsparcia finansowego, będącego przedmiotem Wniosku, o którym mowa w § 1 ust. 3, w zakresie zaakceptowanym przez Beneficjenta, z najwyższym stopniem staranności, w sposób zapewniający uzyskanie jak najlepszych wyników i z dbałością wymaganą przez najlepszą praktykę w danej dziedzinie oraz zgodnie z niniejszą Umową.</w:t>
      </w:r>
    </w:p>
    <w:p w:rsidR="00420E88" w:rsidRPr="00AA0C08" w:rsidRDefault="00420E88" w:rsidP="009872E7">
      <w:pPr>
        <w:numPr>
          <w:ilvl w:val="0"/>
          <w:numId w:val="7"/>
        </w:numPr>
        <w:tabs>
          <w:tab w:val="num" w:pos="2880"/>
        </w:tabs>
        <w:jc w:val="both"/>
        <w:rPr>
          <w:rFonts w:cs="Calibri"/>
        </w:rPr>
      </w:pPr>
      <w:r w:rsidRPr="00AA0C08">
        <w:rPr>
          <w:rFonts w:cs="Calibri"/>
        </w:rPr>
        <w:t>Warunkiem wypłaty  wsparcia finansowego, o którym mowa w § 2 ust. 1 jest:</w:t>
      </w:r>
    </w:p>
    <w:p w:rsidR="00420E88" w:rsidRPr="00AA0C08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>ukończenie modułu szkoleniowo-doradczego realizowanego przez Beneficjenta w ramach projektu,</w:t>
      </w:r>
    </w:p>
    <w:p w:rsidR="00420E88" w:rsidRPr="00CA6013" w:rsidRDefault="00420E88" w:rsidP="009872E7">
      <w:pPr>
        <w:numPr>
          <w:ilvl w:val="0"/>
          <w:numId w:val="18"/>
        </w:numPr>
        <w:jc w:val="both"/>
        <w:rPr>
          <w:rFonts w:cs="Calibri"/>
        </w:rPr>
      </w:pPr>
      <w:r>
        <w:rPr>
          <w:rFonts w:cs="Calibri"/>
        </w:rPr>
        <w:t>w</w:t>
      </w:r>
      <w:r w:rsidRPr="002923A2">
        <w:rPr>
          <w:rFonts w:cs="Calibri"/>
        </w:rPr>
        <w:t>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7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CA6013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 xml:space="preserve">, o której mowa w </w:t>
      </w:r>
      <w:r w:rsidRPr="00AA0C08">
        <w:rPr>
          <w:rFonts w:cs="Calibri"/>
        </w:rPr>
        <w:t xml:space="preserve">§ 2 ust. 1 </w:t>
      </w:r>
      <w:r w:rsidRPr="00CA6013">
        <w:rPr>
          <w:rFonts w:cs="Calibri"/>
        </w:rPr>
        <w:t xml:space="preserve"> w terminie do...................</w:t>
      </w:r>
    </w:p>
    <w:p w:rsidR="00420E88" w:rsidRPr="00AA0C08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>Zabezpieczenie umowy, o którym mowa w ust. 2 pkt 2, zostanie zwrócone przedsiębiorstwu społecznemu na jego pisemny wniosek złożony po całkowitym rozliczeniu przez Beneficjenta udzielonego wsparcia finansowego oraz po spełnieniu wymogu utrzymania miejsca/miejsc pracy przez powyżej 12 miesięcy.</w:t>
      </w:r>
      <w:r w:rsidRPr="00AA0C08">
        <w:rPr>
          <w:rFonts w:cs="Calibri"/>
          <w:bCs/>
        </w:rPr>
        <w:t xml:space="preserve"> </w:t>
      </w:r>
    </w:p>
    <w:p w:rsidR="00420E88" w:rsidRPr="005D5125" w:rsidRDefault="00420E88" w:rsidP="009872E7">
      <w:pPr>
        <w:numPr>
          <w:ilvl w:val="0"/>
          <w:numId w:val="8"/>
        </w:numPr>
        <w:tabs>
          <w:tab w:val="clear" w:pos="502"/>
          <w:tab w:val="num" w:pos="709"/>
          <w:tab w:val="num" w:pos="4500"/>
        </w:tabs>
        <w:suppressAutoHyphens/>
        <w:ind w:left="709" w:hanging="425"/>
        <w:jc w:val="both"/>
        <w:rPr>
          <w:rFonts w:cs="Calibri"/>
        </w:rPr>
      </w:pPr>
      <w:r w:rsidRPr="00AA0C08">
        <w:rPr>
          <w:rFonts w:cs="Calibri"/>
        </w:rPr>
        <w:t xml:space="preserve">Warunkiem wypłaty II transzy wsparcia finansowego, o której mowa w § 2 ust. 3 pkt 1 </w:t>
      </w:r>
      <w:r w:rsidRPr="005D5125">
        <w:rPr>
          <w:rFonts w:cs="Calibri"/>
        </w:rPr>
        <w:t>jest:</w:t>
      </w:r>
    </w:p>
    <w:p w:rsidR="00420E88" w:rsidRPr="00FD144A" w:rsidRDefault="00420E88" w:rsidP="009872E7">
      <w:pPr>
        <w:numPr>
          <w:ilvl w:val="0"/>
          <w:numId w:val="9"/>
        </w:numPr>
        <w:tabs>
          <w:tab w:val="left" w:pos="1276"/>
        </w:tabs>
        <w:jc w:val="both"/>
        <w:rPr>
          <w:rFonts w:cs="Calibri"/>
        </w:rPr>
      </w:pPr>
      <w:r w:rsidRPr="00FD144A">
        <w:rPr>
          <w:rFonts w:cs="Calibri"/>
        </w:rPr>
        <w:t>rozliczenie otrzymanej transzy wsparcia finansowego na podstawie faktur lub innych dokumentów księgowych potwierdzających zakup towarów i/lub usług z dotacji, zgodnie z Planem i z Harmonogramem rzeczowo-finansowym,</w:t>
      </w:r>
      <w:r w:rsidRPr="00FD144A" w:rsidDel="00670CE9">
        <w:rPr>
          <w:rFonts w:cs="Calibri"/>
        </w:rPr>
        <w:t xml:space="preserve"> 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ust.3, w zakresie zaakceptowanym przez Beneficjenta,</w:t>
      </w:r>
    </w:p>
    <w:p w:rsidR="00420E88" w:rsidRPr="00AA0C08" w:rsidRDefault="00420E88" w:rsidP="009872E7">
      <w:pPr>
        <w:numPr>
          <w:ilvl w:val="0"/>
          <w:numId w:val="9"/>
        </w:numPr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>Warunkiem jednorazowej wypłaty wsparcia finansowego o którym mowa w § 2 ust. 3 pkt 2 jest dostępność środków na rachunku bankowym Beneficjenta.</w:t>
      </w:r>
    </w:p>
    <w:p w:rsidR="00420E88" w:rsidRPr="00AA0C08" w:rsidRDefault="00420E88" w:rsidP="009872E7">
      <w:pPr>
        <w:numPr>
          <w:ilvl w:val="0"/>
          <w:numId w:val="11"/>
        </w:numPr>
        <w:jc w:val="both"/>
        <w:rPr>
          <w:rFonts w:cs="Calibri"/>
        </w:rPr>
      </w:pPr>
      <w:r w:rsidRPr="00AA0C08">
        <w:rPr>
          <w:rFonts w:cs="Calibri"/>
        </w:rPr>
        <w:t>W przypadku jednorazowej wypłaty wsparcia finansowego o którym mowa w § 2 ust. 3 pkt 2, przedsiębiorstwo społeczne ma obowiązek w terminie nie dłuższym niż 30 dni kalendarzowych, liczonych od dnia przekazania środków na rachunek przedsiębiorstwa społecznego złożenia:</w:t>
      </w:r>
    </w:p>
    <w:p w:rsidR="00420E88" w:rsidRPr="005D5125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f</w:t>
      </w:r>
      <w:r w:rsidRPr="005D5125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D5125">
        <w:rPr>
          <w:rFonts w:cs="Calibri"/>
        </w:rPr>
        <w:t xml:space="preserve"> potwierdzających</w:t>
      </w:r>
      <w:r>
        <w:rPr>
          <w:rFonts w:cs="Calibri"/>
        </w:rPr>
        <w:t xml:space="preserve"> zakup towarów i/lub usług z dotacji,</w:t>
      </w:r>
      <w:r w:rsidRPr="005D5125">
        <w:rPr>
          <w:rFonts w:cs="Calibri"/>
        </w:rPr>
        <w:t xml:space="preserve"> wskazanych w  Planie i Harmonogramie rzeczowo-finansowym,</w:t>
      </w:r>
    </w:p>
    <w:p w:rsidR="00420E88" w:rsidRPr="00AA0C08" w:rsidRDefault="00420E88" w:rsidP="009872E7">
      <w:pPr>
        <w:numPr>
          <w:ilvl w:val="0"/>
          <w:numId w:val="10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420E88" w:rsidRPr="00AA0C08" w:rsidRDefault="00420E88" w:rsidP="009872E7">
      <w:pPr>
        <w:numPr>
          <w:ilvl w:val="0"/>
          <w:numId w:val="12"/>
        </w:numPr>
        <w:ind w:left="709" w:hanging="425"/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 xml:space="preserve">ch dokumentach 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pkt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8 albo naruszenia innych warunków umowy dotyczących wydatkowania otrzymanego wsparcia finansowego, przedsiębiorstwo społeczne zobowiązane jest zwrócić otrzymane środki wraz </w:t>
      </w:r>
      <w:r>
        <w:rPr>
          <w:rFonts w:cs="Calibri"/>
        </w:rPr>
        <w:br/>
      </w:r>
      <w:r w:rsidRPr="00AA0C08">
        <w:rPr>
          <w:rFonts w:cs="Calibri"/>
        </w:rPr>
        <w:t>z odsetkami na rachunek bankowy Beneficjenta nr......................................................... prowadzony w banku.........................................................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w terminie 7 dni od dnia rozwiązania niniejszej Umowy.</w:t>
      </w:r>
    </w:p>
    <w:p w:rsidR="00420E88" w:rsidRPr="00AA0C0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420E88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>w ust. 10, przekraczających 14 dni, Beneficjent zobowiązany jest niezwłocznie poinformować przedsiębiorstwo społeczne w formie pisemnej, o przyczynach opóźnień i prognozie przekazania płatności.</w:t>
      </w:r>
    </w:p>
    <w:p w:rsidR="00420E88" w:rsidRPr="009B767D" w:rsidRDefault="00420E88" w:rsidP="009872E7">
      <w:pPr>
        <w:numPr>
          <w:ilvl w:val="0"/>
          <w:numId w:val="12"/>
        </w:numPr>
        <w:jc w:val="both"/>
        <w:rPr>
          <w:rFonts w:cs="Calibri"/>
        </w:rPr>
      </w:pPr>
      <w:r w:rsidRPr="009B767D">
        <w:t xml:space="preserve">Przedsiębiorca zobowiązuje się do niezwłocznego powiadomienia Beneficjenta </w:t>
      </w:r>
      <w:r>
        <w:br/>
      </w:r>
      <w:r w:rsidRPr="009B767D">
        <w:t xml:space="preserve">o zakazach dostępu do środków, o których mowa w art. 5 ust. 3 pkt. 1 i 4 ustawy </w:t>
      </w:r>
      <w:r>
        <w:br/>
      </w:r>
      <w:r w:rsidRPr="009B767D">
        <w:t>o finansach publicznych, orzeczonych w stosunku do niego w okresie realizacji umowy.</w:t>
      </w:r>
    </w:p>
    <w:p w:rsidR="00420E88" w:rsidRPr="00AA0C08" w:rsidRDefault="00420E88" w:rsidP="00420E88">
      <w:pPr>
        <w:ind w:left="720"/>
        <w:rPr>
          <w:rFonts w:cs="Calibri"/>
        </w:rPr>
      </w:pP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bookmarkStart w:id="0" w:name="_Hlk515284036"/>
      <w:r w:rsidRPr="00AA0C08">
        <w:rPr>
          <w:rFonts w:cs="Calibri"/>
          <w:b/>
          <w:bCs/>
        </w:rPr>
        <w:t>§</w:t>
      </w:r>
      <w:bookmarkEnd w:id="0"/>
      <w:r w:rsidRPr="00AA0C08">
        <w:rPr>
          <w:rFonts w:cs="Calibri"/>
          <w:b/>
          <w:bCs/>
        </w:rPr>
        <w:t xml:space="preserve"> 5</w:t>
      </w:r>
    </w:p>
    <w:p w:rsidR="00420E88" w:rsidRPr="00AA0C08" w:rsidRDefault="00420E88" w:rsidP="009872E7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Obowiązki kontrolne</w:t>
      </w:r>
    </w:p>
    <w:p w:rsidR="00420E88" w:rsidRPr="00B309F2" w:rsidRDefault="00420E88" w:rsidP="009872E7">
      <w:pPr>
        <w:numPr>
          <w:ilvl w:val="0"/>
          <w:numId w:val="19"/>
        </w:numPr>
        <w:spacing w:before="120"/>
        <w:jc w:val="both"/>
        <w:rPr>
          <w:rFonts w:cs="Calibri"/>
        </w:rPr>
      </w:pPr>
      <w:r w:rsidRPr="00E736CB">
        <w:rPr>
          <w:rFonts w:cs="Calibri"/>
        </w:rPr>
        <w:t>Przedsiębiorstwo społeczne zobowiązane jest  poddać się dwukrotnej  kontroli uprawnionych organów w zakresie prawidłowości wydatkowania wsparcia finansowego. Kontrola, o której mowa powyżej przeprowadzana jest w okresie do 6 miesięcy o</w:t>
      </w:r>
      <w:r w:rsidRPr="005B0B61">
        <w:rPr>
          <w:rFonts w:cs="Calibri"/>
        </w:rPr>
        <w:t>d dnia utworzenia nowego miejsca pracy, lub w innym wskazanym przez Beneficjenta terminie, a następnie w 12 miesiącu licząc od dnia utworzenia nowego miejsca pracy, a w przypadku przedłużenia wsparcia pomostowego w formie finansowej powyżej 6 miesięcy lu</w:t>
      </w:r>
      <w:r w:rsidRPr="00584F7A">
        <w:rPr>
          <w:rFonts w:cs="Calibri"/>
        </w:rPr>
        <w:t xml:space="preserve">b przyznania wyłącznie wsparcia pomostowego </w:t>
      </w:r>
      <w:r>
        <w:rPr>
          <w:rFonts w:cs="Calibri"/>
        </w:rPr>
        <w:br/>
      </w:r>
      <w:r w:rsidRPr="00584F7A">
        <w:rPr>
          <w:rFonts w:cs="Calibri"/>
        </w:rPr>
        <w:t>w formie finansowej (bez dotacji) – co najmniej 6 miesięcy od zakończenia wsparcia pomostowego w formie finansowej</w:t>
      </w:r>
      <w:r w:rsidRPr="00E4535B">
        <w:rPr>
          <w:rFonts w:cs="Calibri"/>
        </w:rPr>
        <w:t xml:space="preserve"> </w:t>
      </w:r>
      <w:r w:rsidRPr="00B309F2">
        <w:rPr>
          <w:rFonts w:cs="Calibri"/>
        </w:rPr>
        <w:t xml:space="preserve">przy czym druga kontrola musi odbyć się </w:t>
      </w:r>
      <w:r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p w:rsidR="00420E88" w:rsidRPr="00AA0C08" w:rsidRDefault="00420E88" w:rsidP="009872E7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Główny obowiązek kontroli w zakresie prawidłowości wydatkowania przyznanych środków finansowych oraz obowiązkowego prowadzenia przedsiębiorstwa społecznego </w:t>
      </w:r>
      <w:r w:rsidRPr="00AA0C08">
        <w:rPr>
          <w:rFonts w:cs="Calibri"/>
        </w:rPr>
        <w:lastRenderedPageBreak/>
        <w:t>spoczywa na Beneficjencie</w:t>
      </w:r>
      <w:r>
        <w:rPr>
          <w:rFonts w:cs="Calibri"/>
        </w:rPr>
        <w:t xml:space="preserve">, który z najwyższą starannością weryfikuje prawidłowość wydatkowania środków z otrzymanej </w:t>
      </w:r>
      <w:r w:rsidRPr="009B767D">
        <w:rPr>
          <w:rFonts w:cs="Calibri"/>
        </w:rPr>
        <w:t>dotacji.</w:t>
      </w:r>
      <w:r w:rsidRPr="00AA0C08">
        <w:rPr>
          <w:rFonts w:cs="Calibri"/>
        </w:rPr>
        <w:t xml:space="preserve">  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420E88" w:rsidRPr="00AA0C08" w:rsidRDefault="00420E88" w:rsidP="009872E7">
      <w:pPr>
        <w:numPr>
          <w:ilvl w:val="0"/>
          <w:numId w:val="1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</w:t>
      </w:r>
      <w:r>
        <w:rPr>
          <w:rFonts w:cs="Calibri"/>
        </w:rPr>
        <w:t>3</w:t>
      </w:r>
      <w:r w:rsidRPr="00AA0C08">
        <w:rPr>
          <w:rFonts w:cs="Calibri"/>
        </w:rPr>
        <w:t xml:space="preserve">, są naliczane w wysokości określonej jak dla zaległości podatkowych od dnia przekazania nieprawidłowo wykorzystanego lub pobranego  wsparcia finansowego. </w:t>
      </w:r>
    </w:p>
    <w:p w:rsidR="00420E88" w:rsidRPr="00AA0C08" w:rsidRDefault="00420E88" w:rsidP="00420E88">
      <w:pPr>
        <w:ind w:left="360"/>
        <w:rPr>
          <w:rFonts w:cs="Calibri"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420E88" w:rsidRPr="009872E7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420E88" w:rsidRPr="00AA0C08" w:rsidRDefault="00420E88" w:rsidP="009872E7">
      <w:pPr>
        <w:numPr>
          <w:ilvl w:val="0"/>
          <w:numId w:val="13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420E88" w:rsidRPr="00AA0C08" w:rsidRDefault="00420E88" w:rsidP="009872E7">
      <w:pPr>
        <w:numPr>
          <w:ilvl w:val="0"/>
          <w:numId w:val="13"/>
        </w:numPr>
        <w:jc w:val="both"/>
        <w:rPr>
          <w:rFonts w:cs="Calibri"/>
        </w:rPr>
      </w:pPr>
      <w:r w:rsidRPr="00AA0C08">
        <w:rPr>
          <w:rFonts w:cs="Calibri"/>
        </w:rPr>
        <w:t>W przypadku, gdy całkowita kwota wydatków inwestycyjnych poniesionych przez przedsiębiorstwo społeczne nie przekroczy kwoty</w:t>
      </w:r>
      <w:r w:rsidR="00D80DBC">
        <w:rPr>
          <w:rFonts w:cs="Calibri"/>
        </w:rPr>
        <w:t xml:space="preserve"> I transzy</w:t>
      </w:r>
      <w:r w:rsidRPr="00AA0C08">
        <w:rPr>
          <w:rFonts w:cs="Calibri"/>
        </w:rPr>
        <w:t xml:space="preserve">  określonej w § 2 ust. 3 pkt </w:t>
      </w:r>
      <w:r w:rsidRPr="00AA0C08">
        <w:rPr>
          <w:rFonts w:cs="Calibri"/>
        </w:rPr>
        <w:lastRenderedPageBreak/>
        <w:t>1 niniejszej Umowy, przedsiębiorstwo społeczne jest zobowiązane zwrócić na konto Beneficjenta niewykorzystaną część środków</w:t>
      </w:r>
      <w:r w:rsidR="00D80DBC">
        <w:rPr>
          <w:rStyle w:val="Odwoanieprzypisudolnego"/>
          <w:rFonts w:cs="Calibri"/>
        </w:rPr>
        <w:footnoteReference w:id="8"/>
      </w:r>
      <w:r w:rsidR="00D80DBC">
        <w:rPr>
          <w:rFonts w:cs="Calibri"/>
        </w:rPr>
        <w:t>.</w:t>
      </w:r>
    </w:p>
    <w:p w:rsidR="00420E88" w:rsidRPr="00AA0C08" w:rsidRDefault="00420E88" w:rsidP="00420E88">
      <w:pPr>
        <w:rPr>
          <w:rFonts w:cs="Calibri"/>
          <w:b/>
        </w:rPr>
      </w:pP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420E88" w:rsidRPr="00AA0C08" w:rsidRDefault="00420E88" w:rsidP="009872E7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</w:rPr>
        <w:t xml:space="preserve">nie rozpocznie realizacji przedsięwzięcia objętego wsparciem finansowym </w:t>
      </w:r>
      <w:r>
        <w:rPr>
          <w:rFonts w:cs="Calibri"/>
        </w:rPr>
        <w:br/>
      </w:r>
      <w:r w:rsidRPr="00AA0C08">
        <w:rPr>
          <w:rFonts w:cs="Calibri"/>
        </w:rPr>
        <w:t xml:space="preserve">w terminie określonym w Harmonogramie rzeczowo-finansowym, przerwie realizację tego przedsięwzięcia albo będzie go realizować niezgodnie 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 (w tym w szczególności w sytuacji, gdy zakupione towary i/lub usługi nie zostały ujęte w Harmonogramie rzeczowo – finansowym);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420E88" w:rsidRPr="00AA0C08" w:rsidRDefault="00420E88" w:rsidP="009872E7">
      <w:pPr>
        <w:numPr>
          <w:ilvl w:val="0"/>
          <w:numId w:val="15"/>
        </w:numPr>
        <w:spacing w:line="259" w:lineRule="auto"/>
        <w:ind w:left="1434" w:hanging="357"/>
        <w:jc w:val="both"/>
        <w:rPr>
          <w:rFonts w:cs="Calibri"/>
        </w:rPr>
      </w:pPr>
      <w:r w:rsidRPr="00AA0C08">
        <w:rPr>
          <w:rFonts w:cs="Calibri"/>
        </w:rPr>
        <w:t>rozwiążę umowę o pracę lub spółdzielczą umowę o z osobą/osobami, które zostały zatrudnione w przedsiębiorstwie społecznym w ramach projektu przed upływem 12 miesięcy liczonych od utworzenia miejsca pracy.</w:t>
      </w:r>
    </w:p>
    <w:p w:rsidR="00420E88" w:rsidRPr="00AA0C08" w:rsidRDefault="00420E88" w:rsidP="009872E7">
      <w:pPr>
        <w:numPr>
          <w:ilvl w:val="0"/>
          <w:numId w:val="15"/>
        </w:numPr>
        <w:jc w:val="both"/>
        <w:rPr>
          <w:rFonts w:cs="Calibri"/>
        </w:rPr>
      </w:pPr>
      <w:r w:rsidRPr="00AA0C08">
        <w:rPr>
          <w:rFonts w:cs="Calibri"/>
          <w:bCs/>
        </w:rPr>
        <w:t xml:space="preserve">w terminie trwałości nowych miejsc pracy, o którym mowa powyżej utraci status przedsiębiorstwa społecznego (ustaną przesłanki świadczące </w:t>
      </w:r>
      <w:r>
        <w:rPr>
          <w:rFonts w:cs="Calibri"/>
          <w:bCs/>
        </w:rPr>
        <w:br/>
      </w:r>
      <w:r w:rsidRPr="00AA0C08">
        <w:rPr>
          <w:rFonts w:cs="Calibri"/>
          <w:bCs/>
        </w:rPr>
        <w:t>o posiadaniu takiego statusu);</w:t>
      </w:r>
    </w:p>
    <w:p w:rsidR="00420E88" w:rsidRPr="00AA0C08" w:rsidRDefault="00420E88" w:rsidP="009872E7">
      <w:pPr>
        <w:numPr>
          <w:ilvl w:val="0"/>
          <w:numId w:val="15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420E8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420E88" w:rsidRPr="000D5A92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 xml:space="preserve">poda inne niezgodne z prawdą informacje </w:t>
      </w:r>
      <w:r>
        <w:rPr>
          <w:rFonts w:cs="Calibri"/>
        </w:rPr>
        <w:t>w celu uzyskania dotacji</w:t>
      </w:r>
      <w:r w:rsidRPr="000D5A92">
        <w:rPr>
          <w:rFonts w:cs="Calibri"/>
        </w:rPr>
        <w:t xml:space="preserve">; </w:t>
      </w:r>
    </w:p>
    <w:p w:rsidR="00420E88" w:rsidRPr="00AA0C08" w:rsidRDefault="00420E88" w:rsidP="009872E7">
      <w:pPr>
        <w:numPr>
          <w:ilvl w:val="0"/>
          <w:numId w:val="15"/>
        </w:numPr>
        <w:suppressAutoHyphens/>
        <w:jc w:val="both"/>
        <w:rPr>
          <w:rFonts w:cs="Calibri"/>
        </w:rPr>
      </w:pPr>
      <w:r w:rsidRPr="009B767D">
        <w:t xml:space="preserve">nie powiadomi Beneficjenta niezwłocznie o zakazie dostępu do środków, </w:t>
      </w:r>
      <w:r>
        <w:br/>
      </w:r>
      <w:r w:rsidRPr="009B767D">
        <w:t>o których mowa w art. 5 ust. 3 pkt. 1 i 4 ustawy o finansach publicznych orzeczonych w stosunku do niego w okresie realizacji umowy</w:t>
      </w:r>
      <w: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>prowadzony w banku.......................................</w:t>
      </w:r>
      <w:r w:rsidR="009872E7">
        <w:rPr>
          <w:rFonts w:cs="Calibri"/>
        </w:rPr>
        <w:t xml:space="preserve"> </w:t>
      </w:r>
      <w:r w:rsidRPr="00AA0C08">
        <w:rPr>
          <w:rFonts w:cs="Calibri"/>
        </w:rPr>
        <w:t xml:space="preserve">w terminie </w:t>
      </w:r>
      <w:r>
        <w:rPr>
          <w:rFonts w:cs="Calibri"/>
        </w:rPr>
        <w:t>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W przypadku rozwiązania Umowy, o którym mowa w ust. 1, przedsiębiorstwu społecznemu nie przysługuje wypłata II transzy wsparcia finansowego, o którym mowa w § 2 ust. 3 pkt 1</w:t>
      </w:r>
      <w:r w:rsidRPr="00AA0C08">
        <w:rPr>
          <w:rFonts w:cs="Calibri"/>
          <w:vertAlign w:val="superscript"/>
        </w:rPr>
        <w:footnoteReference w:id="9"/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przypadku, gdy przedsiębiorstwo społeczne nie dokonało w wyznaczonym terminie zwrotu, o którym mowa w ust. 3 oraz w § 5 ust. </w:t>
      </w:r>
      <w:r>
        <w:rPr>
          <w:rFonts w:cs="Calibri"/>
        </w:rPr>
        <w:t>3</w:t>
      </w:r>
      <w:r w:rsidR="00C21F4E">
        <w:rPr>
          <w:rFonts w:cs="Calibri"/>
        </w:rPr>
        <w:t xml:space="preserve"> oraz </w:t>
      </w:r>
      <w:r w:rsidR="00C21F4E" w:rsidRPr="00AA0C08">
        <w:rPr>
          <w:rFonts w:cs="Calibri"/>
        </w:rPr>
        <w:t>§</w:t>
      </w:r>
      <w:r w:rsidR="00C21F4E">
        <w:rPr>
          <w:rFonts w:cs="Calibri"/>
        </w:rPr>
        <w:t>6 ust. 9</w:t>
      </w:r>
      <w:r w:rsidRPr="00AA0C08">
        <w:rPr>
          <w:rFonts w:cs="Calibri"/>
        </w:rPr>
        <w:t>, Beneficjent podejmie czynności zmierzające do odzyskania należnych środków, z wykorzystaniem dostępnych środków prawnych, w szczególności zabezpieczenia, o którym mowa w § 4 ust. 2 pkt 2. Koszty czynności zmierzających do odzyskania nieprawidłowo wykorzystanego wsparcia finansowego obciążają przedsiębiorstwo społeczne.</w:t>
      </w:r>
    </w:p>
    <w:p w:rsidR="00420E88" w:rsidRPr="009872E7" w:rsidRDefault="00420E88" w:rsidP="00420E88">
      <w:pPr>
        <w:numPr>
          <w:ilvl w:val="0"/>
          <w:numId w:val="14"/>
        </w:numPr>
        <w:tabs>
          <w:tab w:val="clear" w:pos="644"/>
          <w:tab w:val="num" w:pos="709"/>
          <w:tab w:val="num" w:pos="2340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420E88" w:rsidRPr="00AA0C08" w:rsidRDefault="00420E88" w:rsidP="00420E88">
      <w:pPr>
        <w:rPr>
          <w:rFonts w:cs="Calibri"/>
        </w:rPr>
      </w:pPr>
    </w:p>
    <w:p w:rsidR="00420E88" w:rsidRPr="00AA0C08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420E88" w:rsidRPr="009872E7" w:rsidRDefault="00420E88" w:rsidP="009872E7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420E88" w:rsidRPr="00AA0C08" w:rsidRDefault="00420E88" w:rsidP="009872E7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420E88" w:rsidRPr="00AA0C08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</w:t>
      </w:r>
      <w:r w:rsidR="009872E7">
        <w:rPr>
          <w:rFonts w:cs="Calibri"/>
        </w:rPr>
        <w:br/>
      </w:r>
      <w:r w:rsidRPr="00AA0C08">
        <w:rPr>
          <w:rFonts w:cs="Calibri"/>
        </w:rPr>
        <w:t xml:space="preserve">z dnia 17 grudnia 2013 r. w sprawie Europejskiego Funduszu Społecznego </w:t>
      </w:r>
      <w:r w:rsidR="009872E7">
        <w:rPr>
          <w:rFonts w:cs="Calibri"/>
        </w:rPr>
        <w:br/>
      </w:r>
      <w:r w:rsidRPr="00AA0C08">
        <w:rPr>
          <w:rFonts w:cs="Calibri"/>
        </w:rPr>
        <w:t>i uchylającego rozporządzenie Rady (WE) nr 1081/2006 (Dz. Urz. UE L 347 z 20.12.2013),</w:t>
      </w:r>
    </w:p>
    <w:p w:rsidR="00420E88" w:rsidRPr="009872E7" w:rsidRDefault="00420E88" w:rsidP="009872E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420E88" w:rsidRPr="00AA0C08" w:rsidRDefault="00420E88" w:rsidP="009872E7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>z późn. zm.),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D80DBC">
        <w:rPr>
          <w:rFonts w:cs="Calibri"/>
        </w:rPr>
        <w:t>2019</w:t>
      </w:r>
      <w:r w:rsidR="00D80DBC" w:rsidRPr="00AA0C08">
        <w:rPr>
          <w:rFonts w:cs="Calibri"/>
        </w:rPr>
        <w:t xml:space="preserve"> </w:t>
      </w:r>
      <w:r w:rsidRPr="00AA0C08">
        <w:rPr>
          <w:rFonts w:cs="Calibri"/>
        </w:rPr>
        <w:t>r.</w:t>
      </w:r>
      <w:r>
        <w:rPr>
          <w:rFonts w:cs="Calibri"/>
        </w:rPr>
        <w:t xml:space="preserve"> poz. </w:t>
      </w:r>
      <w:r w:rsidR="00D80DBC">
        <w:rPr>
          <w:rFonts w:cs="Calibri"/>
        </w:rPr>
        <w:t xml:space="preserve">1145 </w:t>
      </w:r>
      <w:r>
        <w:rPr>
          <w:rFonts w:cs="Calibri"/>
        </w:rPr>
        <w:t>z</w:t>
      </w:r>
      <w:r w:rsidRPr="00AA0C08">
        <w:rPr>
          <w:rFonts w:cs="Calibri"/>
        </w:rPr>
        <w:t xml:space="preserve"> późn. zm.),</w:t>
      </w:r>
    </w:p>
    <w:p w:rsidR="00420E8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 xml:space="preserve">ustawa z dnia 6 marca 2018 r. Prawo Przedsiębiorców (Dz. U. z </w:t>
      </w:r>
      <w:r w:rsidR="00D80DBC">
        <w:rPr>
          <w:rFonts w:cs="Calibri"/>
        </w:rPr>
        <w:t>2019</w:t>
      </w:r>
      <w:r w:rsidR="00D80DBC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D80DBC">
        <w:rPr>
          <w:rFonts w:cs="Calibri"/>
        </w:rPr>
        <w:t xml:space="preserve">1292 </w:t>
      </w:r>
      <w:r>
        <w:rPr>
          <w:rFonts w:cs="Calibri"/>
        </w:rPr>
        <w:t>z późn.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420E88" w:rsidRPr="00AA0C08" w:rsidRDefault="00420E88" w:rsidP="009872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</w:t>
      </w:r>
      <w:r>
        <w:rPr>
          <w:rFonts w:cs="Calibri"/>
        </w:rPr>
        <w:br/>
      </w:r>
      <w:r w:rsidRPr="00AA0C08">
        <w:rPr>
          <w:rFonts w:cs="Calibri"/>
        </w:rPr>
        <w:t xml:space="preserve">w sprawie udzielania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 xml:space="preserve">oraz pomocy publicznej </w:t>
      </w:r>
      <w:r w:rsidR="009872E7">
        <w:rPr>
          <w:rFonts w:cs="Calibri"/>
        </w:rPr>
        <w:br/>
      </w:r>
      <w:r w:rsidRPr="00AA0C08">
        <w:rPr>
          <w:rFonts w:cs="Calibri"/>
        </w:rPr>
        <w:t>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Wszelkie spory między Beneficjentem a przedsiębiorstwem społecznym związane </w:t>
      </w:r>
      <w:r w:rsidR="009872E7"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420E88" w:rsidRPr="00AA0C08" w:rsidRDefault="00420E88" w:rsidP="009872E7">
      <w:pPr>
        <w:numPr>
          <w:ilvl w:val="0"/>
          <w:numId w:val="16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420E88" w:rsidRPr="00AA0C08" w:rsidRDefault="00420E88" w:rsidP="009872E7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420E88" w:rsidRPr="00AA0C08" w:rsidRDefault="00420E88" w:rsidP="00420E88">
      <w:pPr>
        <w:keepNext/>
        <w:ind w:left="180"/>
        <w:outlineLvl w:val="1"/>
        <w:rPr>
          <w:rFonts w:cs="Calibri"/>
          <w:b/>
          <w:bCs/>
          <w:iCs/>
        </w:rPr>
      </w:pPr>
    </w:p>
    <w:p w:rsidR="00420E88" w:rsidRPr="00AA0C08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420E88" w:rsidRPr="009872E7" w:rsidRDefault="00420E88" w:rsidP="009872E7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10"/>
      </w:r>
      <w:r w:rsidRPr="00AA0C08">
        <w:rPr>
          <w:rFonts w:cs="Calibri"/>
        </w:rPr>
        <w:t xml:space="preserve">. 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2: </w:t>
      </w:r>
      <w:r w:rsidRPr="00AA0C08">
        <w:rPr>
          <w:rFonts w:cs="Calibri"/>
        </w:rPr>
        <w:tab/>
        <w:t xml:space="preserve">Wniosek/ kopia wniosku </w:t>
      </w:r>
      <w:r w:rsidRPr="00835534">
        <w:rPr>
          <w:rFonts w:cs="Calibri"/>
        </w:rPr>
        <w:t xml:space="preserve">o </w:t>
      </w:r>
      <w:r w:rsidRPr="00CA6013">
        <w:rPr>
          <w:rFonts w:cs="Calibri"/>
        </w:rPr>
        <w:t xml:space="preserve">przyznanie wsparcia finansowego na </w:t>
      </w:r>
      <w:r>
        <w:rPr>
          <w:rFonts w:cs="Calibri"/>
        </w:rPr>
        <w:t>przekształcenie podmiotu ekonomii społecznej w przedsiębiorstwo społeczne</w:t>
      </w:r>
      <w:r w:rsidRPr="00AA0C08">
        <w:rPr>
          <w:rFonts w:cs="Calibri"/>
        </w:rPr>
        <w:t>.</w:t>
      </w: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420E88" w:rsidRPr="00AA0C08" w:rsidRDefault="00420E88" w:rsidP="009872E7">
      <w:pPr>
        <w:tabs>
          <w:tab w:val="left" w:pos="-2268"/>
          <w:tab w:val="left" w:pos="142"/>
        </w:tabs>
        <w:autoSpaceDE w:val="0"/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11"/>
      </w:r>
      <w:r w:rsidRPr="00AA0C08">
        <w:rPr>
          <w:rFonts w:cs="Calibri"/>
        </w:rPr>
        <w:t>.</w:t>
      </w:r>
    </w:p>
    <w:p w:rsidR="00420E88" w:rsidRPr="003017FD" w:rsidRDefault="00420E88" w:rsidP="009872E7">
      <w:pPr>
        <w:tabs>
          <w:tab w:val="left" w:pos="-2268"/>
          <w:tab w:val="left" w:pos="440"/>
        </w:tabs>
        <w:suppressAutoHyphens/>
        <w:autoSpaceDE w:val="0"/>
        <w:ind w:left="2127" w:hanging="1560"/>
        <w:jc w:val="both"/>
        <w:rPr>
          <w:rFonts w:cs="Calibri"/>
        </w:rPr>
      </w:pPr>
      <w:r w:rsidRPr="003017FD">
        <w:rPr>
          <w:rFonts w:cs="Calibri"/>
        </w:rPr>
        <w:t xml:space="preserve">Załącznik </w:t>
      </w:r>
      <w:r>
        <w:rPr>
          <w:rFonts w:cs="Calibri"/>
        </w:rPr>
        <w:t>5</w:t>
      </w:r>
      <w:r w:rsidRPr="003017FD">
        <w:rPr>
          <w:rFonts w:cs="Calibri"/>
        </w:rPr>
        <w:t xml:space="preserve">: </w:t>
      </w:r>
      <w:r w:rsidR="009872E7">
        <w:rPr>
          <w:rFonts w:cs="Calibri"/>
        </w:rPr>
        <w:t xml:space="preserve"> </w:t>
      </w:r>
      <w:r w:rsidRPr="003017FD">
        <w:t xml:space="preserve">Oświadczenie </w:t>
      </w:r>
      <w:r>
        <w:t xml:space="preserve">uczestnika </w:t>
      </w:r>
      <w:r w:rsidRPr="003017FD">
        <w:t>o</w:t>
      </w:r>
      <w:r>
        <w:t xml:space="preserve"> niepodleganiu </w:t>
      </w:r>
      <w:r w:rsidRPr="003017FD">
        <w:t xml:space="preserve">karze zakazu dostępu do </w:t>
      </w:r>
      <w:r>
        <w:t xml:space="preserve">  </w:t>
      </w:r>
      <w:r w:rsidRPr="003017FD">
        <w:t>środków, o których mowa w art. 5 ust. 3 pkt. 1 i 4 ustawy z dnia 27 sierpnia 2009r. o finansach publicznych.</w:t>
      </w:r>
    </w:p>
    <w:p w:rsidR="00420E8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</w:p>
    <w:p w:rsidR="00420E88" w:rsidRPr="00AA0C08" w:rsidRDefault="00420E88" w:rsidP="009872E7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>de minimis</w:t>
      </w:r>
      <w:r w:rsidRPr="00AA0C08">
        <w:rPr>
          <w:rStyle w:val="Odwoanieprzypisudolnego"/>
          <w:rFonts w:cs="Calibri"/>
          <w:i/>
          <w:iCs/>
        </w:rPr>
        <w:footnoteReference w:id="12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13"/>
      </w:r>
      <w:r w:rsidRPr="00AA0C08">
        <w:rPr>
          <w:rFonts w:cs="Calibri"/>
        </w:rPr>
        <w:t>, lub</w:t>
      </w:r>
    </w:p>
    <w:p w:rsidR="00420E88" w:rsidRPr="00AA0C0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minimis, </w:t>
      </w:r>
      <w:r w:rsidRPr="00AA0C08">
        <w:rPr>
          <w:rFonts w:cs="Calibri"/>
        </w:rPr>
        <w:t>wystawione przez podmioty udzielające pomocy w roku podatkowym, 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14"/>
      </w:r>
      <w:r w:rsidRPr="00AA0C08">
        <w:rPr>
          <w:rFonts w:cs="Calibri"/>
        </w:rPr>
        <w:t>,</w:t>
      </w:r>
    </w:p>
    <w:p w:rsidR="00420E88" w:rsidRDefault="00420E88" w:rsidP="009872E7">
      <w:pPr>
        <w:numPr>
          <w:ilvl w:val="0"/>
          <w:numId w:val="1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>de minimis</w:t>
      </w:r>
      <w:r w:rsidRPr="00AA0C08">
        <w:rPr>
          <w:rStyle w:val="Odwoanieprzypisudolnego"/>
          <w:rFonts w:cs="Calibri"/>
          <w:i/>
        </w:rPr>
        <w:footnoteReference w:id="15"/>
      </w:r>
      <w:r>
        <w:rPr>
          <w:rFonts w:cs="Calibri"/>
          <w:i/>
        </w:rPr>
        <w:t>.</w:t>
      </w: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2268" w:hanging="1828"/>
        <w:rPr>
          <w:rFonts w:cs="Calibri"/>
        </w:rPr>
      </w:pPr>
    </w:p>
    <w:p w:rsidR="00420E88" w:rsidRDefault="00420E88" w:rsidP="00420E88">
      <w:pPr>
        <w:tabs>
          <w:tab w:val="left" w:pos="-2268"/>
          <w:tab w:val="left" w:pos="142"/>
        </w:tabs>
        <w:suppressAutoHyphens/>
        <w:autoSpaceDE w:val="0"/>
        <w:ind w:left="770"/>
      </w:pPr>
    </w:p>
    <w:p w:rsidR="00420E88" w:rsidRPr="00AA0C08" w:rsidRDefault="00420E88" w:rsidP="00420E88">
      <w:pPr>
        <w:spacing w:line="276" w:lineRule="auto"/>
        <w:ind w:left="2126" w:hanging="1559"/>
        <w:rPr>
          <w:rFonts w:cs="Calibri"/>
        </w:rPr>
      </w:pPr>
    </w:p>
    <w:tbl>
      <w:tblPr>
        <w:tblW w:w="0" w:type="auto"/>
        <w:tblLayout w:type="fixed"/>
        <w:tblLook w:val="0000"/>
      </w:tblPr>
      <w:tblGrid>
        <w:gridCol w:w="4606"/>
        <w:gridCol w:w="4606"/>
      </w:tblGrid>
      <w:tr w:rsidR="00420E88" w:rsidRPr="00AA0C08" w:rsidTr="00B44F97">
        <w:tc>
          <w:tcPr>
            <w:tcW w:w="4606" w:type="dxa"/>
          </w:tcPr>
          <w:p w:rsidR="009872E7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W imieniu przedsiębiorstwa społecznego</w:t>
            </w:r>
          </w:p>
          <w:p w:rsidR="009872E7" w:rsidRDefault="009872E7" w:rsidP="00B44F97">
            <w:pPr>
              <w:spacing w:line="252" w:lineRule="auto"/>
              <w:rPr>
                <w:rFonts w:cs="Calibri"/>
              </w:rPr>
            </w:pP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CA6013" w:rsidRDefault="00420E88" w:rsidP="00B44F97">
            <w:pPr>
              <w:spacing w:line="252" w:lineRule="auto"/>
              <w:rPr>
                <w:rFonts w:cs="Calibri"/>
              </w:rPr>
            </w:pPr>
            <w:r w:rsidRPr="00CA6013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420E88" w:rsidRPr="00AA0C08" w:rsidRDefault="00420E8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420E88" w:rsidRPr="00067696" w:rsidRDefault="00420E8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420E88" w:rsidRPr="00AA0C08" w:rsidRDefault="00420E8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1E2DB9" w:rsidRPr="001E2DB9" w:rsidRDefault="001E2DB9" w:rsidP="001E2DB9">
      <w:pPr>
        <w:rPr>
          <w:szCs w:val="20"/>
        </w:rPr>
      </w:pPr>
    </w:p>
    <w:sectPr w:rsidR="001E2DB9" w:rsidRPr="001E2DB9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34C" w:rsidRDefault="0090234C">
      <w:r>
        <w:separator/>
      </w:r>
    </w:p>
  </w:endnote>
  <w:endnote w:type="continuationSeparator" w:id="0">
    <w:p w:rsidR="0090234C" w:rsidRDefault="0090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23316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233164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34C" w:rsidRDefault="0090234C">
      <w:r>
        <w:separator/>
      </w:r>
    </w:p>
  </w:footnote>
  <w:footnote w:type="continuationSeparator" w:id="0">
    <w:p w:rsidR="0090234C" w:rsidRDefault="0090234C">
      <w:r>
        <w:continuationSeparator/>
      </w:r>
    </w:p>
  </w:footnote>
  <w:footnote w:id="1">
    <w:p w:rsidR="00420E88" w:rsidRPr="0009682C" w:rsidRDefault="00420E88" w:rsidP="00420E88">
      <w:pPr>
        <w:pStyle w:val="Tekstprzypisudolnego"/>
        <w:rPr>
          <w:rFonts w:cs="Calibri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8D3786" w:rsidRDefault="008D3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0F9">
        <w:t>W uzasadnionych przypadkach termin ten może zostać wydłużony za zgodą OWES.</w:t>
      </w:r>
      <w:r>
        <w:t xml:space="preserve"> </w:t>
      </w:r>
    </w:p>
  </w:footnote>
  <w:footnote w:id="3">
    <w:p w:rsidR="008D3786" w:rsidRDefault="008D3786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  <w:r w:rsidR="005410F9">
        <w:t>.</w:t>
      </w:r>
    </w:p>
  </w:footnote>
  <w:footnote w:id="4">
    <w:p w:rsidR="005410F9" w:rsidRDefault="005410F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5">
    <w:p w:rsidR="005410F9" w:rsidRDefault="005410F9">
      <w:pPr>
        <w:pStyle w:val="Tekstprzypisudolnego"/>
      </w:pPr>
      <w:r>
        <w:rPr>
          <w:rStyle w:val="Odwoanieprzypisudolnego"/>
        </w:rPr>
        <w:footnoteRef/>
      </w:r>
      <w:r>
        <w:t xml:space="preserve"> Ilekroć w niniejszej umowie jest mowa o przedsiębiorstwie społecznym należy przez to rozumieć także podmiot ekonomii społecznej będący w trakcie przekształcenia w przedsiębiorstwo społeczne.</w:t>
      </w:r>
    </w:p>
  </w:footnote>
  <w:footnote w:id="6">
    <w:p w:rsidR="00420E88" w:rsidRDefault="00420E88" w:rsidP="00420E8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pkt 1 albo pkt 2 w zależności od tego, czy Beneficjent zdecyduje się na wypłatę wsparcia finansowego jednorazowo, czy w dwóch transzach.</w:t>
      </w:r>
    </w:p>
  </w:footnote>
  <w:footnote w:id="7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in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in blanco wraz </w:t>
      </w:r>
      <w:r>
        <w:br/>
      </w:r>
      <w:r w:rsidRPr="004B61BF">
        <w:t>z deklaracją wekslową oraz ewentualne wybrane zabezpieczenie dodatkowe.</w:t>
      </w:r>
    </w:p>
  </w:footnote>
  <w:footnote w:id="8">
    <w:p w:rsidR="00D80DBC" w:rsidRDefault="00D80DBC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</w:rPr>
        <w:t>§</w:t>
      </w:r>
      <w:r>
        <w:rPr>
          <w:rFonts w:cs="Calibri"/>
        </w:rPr>
        <w:t xml:space="preserve"> 2 ust. 3 pkt 2.</w:t>
      </w:r>
    </w:p>
  </w:footnote>
  <w:footnote w:id="9">
    <w:p w:rsidR="00420E88" w:rsidRPr="00B57CC5" w:rsidRDefault="00420E88" w:rsidP="00420E8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pkt 2.</w:t>
      </w:r>
    </w:p>
  </w:footnote>
  <w:footnote w:id="10">
    <w:p w:rsidR="00420E88" w:rsidRPr="0018120B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11">
    <w:p w:rsidR="00420E88" w:rsidRDefault="00420E88" w:rsidP="00420E8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12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13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4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5">
    <w:p w:rsidR="00420E88" w:rsidRDefault="00420E88" w:rsidP="00420E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3D9"/>
    <w:multiLevelType w:val="hybridMultilevel"/>
    <w:tmpl w:val="AE94FB30"/>
    <w:lvl w:ilvl="0" w:tplc="3F60BFD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0" w:hanging="360"/>
      </w:pPr>
    </w:lvl>
    <w:lvl w:ilvl="2" w:tplc="0415001B" w:tentative="1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1610" w:hanging="360"/>
      </w:pPr>
    </w:lvl>
    <w:lvl w:ilvl="4" w:tplc="04150019" w:tentative="1">
      <w:start w:val="1"/>
      <w:numFmt w:val="lowerLetter"/>
      <w:lvlText w:val="%5."/>
      <w:lvlJc w:val="left"/>
      <w:pPr>
        <w:ind w:left="2330" w:hanging="360"/>
      </w:pPr>
    </w:lvl>
    <w:lvl w:ilvl="5" w:tplc="0415001B" w:tentative="1">
      <w:start w:val="1"/>
      <w:numFmt w:val="lowerRoman"/>
      <w:lvlText w:val="%6."/>
      <w:lvlJc w:val="right"/>
      <w:pPr>
        <w:ind w:left="3050" w:hanging="180"/>
      </w:pPr>
    </w:lvl>
    <w:lvl w:ilvl="6" w:tplc="0415000F" w:tentative="1">
      <w:start w:val="1"/>
      <w:numFmt w:val="decimal"/>
      <w:lvlText w:val="%7."/>
      <w:lvlJc w:val="left"/>
      <w:pPr>
        <w:ind w:left="3770" w:hanging="360"/>
      </w:pPr>
    </w:lvl>
    <w:lvl w:ilvl="7" w:tplc="04150019" w:tentative="1">
      <w:start w:val="1"/>
      <w:numFmt w:val="lowerLetter"/>
      <w:lvlText w:val="%8."/>
      <w:lvlJc w:val="left"/>
      <w:pPr>
        <w:ind w:left="4490" w:hanging="360"/>
      </w:pPr>
    </w:lvl>
    <w:lvl w:ilvl="8" w:tplc="0415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">
    <w:nsid w:val="044875DA"/>
    <w:multiLevelType w:val="hybridMultilevel"/>
    <w:tmpl w:val="28DE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4AAA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A53843"/>
    <w:multiLevelType w:val="hybridMultilevel"/>
    <w:tmpl w:val="5D5038DC"/>
    <w:lvl w:ilvl="0" w:tplc="F2F2D42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558" w:hanging="360"/>
      </w:pPr>
    </w:lvl>
    <w:lvl w:ilvl="2" w:tplc="0415001B" w:tentative="1">
      <w:start w:val="1"/>
      <w:numFmt w:val="lowerRoman"/>
      <w:lvlText w:val="%3."/>
      <w:lvlJc w:val="right"/>
      <w:pPr>
        <w:ind w:left="-1838" w:hanging="180"/>
      </w:pPr>
    </w:lvl>
    <w:lvl w:ilvl="3" w:tplc="0415000F" w:tentative="1">
      <w:start w:val="1"/>
      <w:numFmt w:val="decimal"/>
      <w:lvlText w:val="%4."/>
      <w:lvlJc w:val="left"/>
      <w:pPr>
        <w:ind w:left="-1118" w:hanging="360"/>
      </w:pPr>
    </w:lvl>
    <w:lvl w:ilvl="4" w:tplc="04150019" w:tentative="1">
      <w:start w:val="1"/>
      <w:numFmt w:val="lowerLetter"/>
      <w:lvlText w:val="%5."/>
      <w:lvlJc w:val="left"/>
      <w:pPr>
        <w:ind w:left="-398" w:hanging="360"/>
      </w:pPr>
    </w:lvl>
    <w:lvl w:ilvl="5" w:tplc="0415001B" w:tentative="1">
      <w:start w:val="1"/>
      <w:numFmt w:val="lowerRoman"/>
      <w:lvlText w:val="%6."/>
      <w:lvlJc w:val="righ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1042" w:hanging="360"/>
      </w:pPr>
    </w:lvl>
    <w:lvl w:ilvl="7" w:tplc="04150019" w:tentative="1">
      <w:start w:val="1"/>
      <w:numFmt w:val="lowerLetter"/>
      <w:lvlText w:val="%8."/>
      <w:lvlJc w:val="left"/>
      <w:pPr>
        <w:ind w:left="1762" w:hanging="360"/>
      </w:pPr>
    </w:lvl>
    <w:lvl w:ilvl="8" w:tplc="0415001B" w:tentative="1">
      <w:start w:val="1"/>
      <w:numFmt w:val="lowerRoman"/>
      <w:lvlText w:val="%9."/>
      <w:lvlJc w:val="right"/>
      <w:pPr>
        <w:ind w:left="2482" w:hanging="180"/>
      </w:pPr>
    </w:lvl>
  </w:abstractNum>
  <w:abstractNum w:abstractNumId="4">
    <w:nsid w:val="15BF0510"/>
    <w:multiLevelType w:val="hybridMultilevel"/>
    <w:tmpl w:val="DBA4CD94"/>
    <w:lvl w:ilvl="0" w:tplc="82B49ADA">
      <w:start w:val="3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C06"/>
    <w:multiLevelType w:val="hybridMultilevel"/>
    <w:tmpl w:val="1F96078A"/>
    <w:lvl w:ilvl="0" w:tplc="B33A429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2012"/>
    <w:multiLevelType w:val="hybridMultilevel"/>
    <w:tmpl w:val="F7DA155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23D81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87FC3"/>
    <w:multiLevelType w:val="hybridMultilevel"/>
    <w:tmpl w:val="721635B8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223678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11478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3">
    <w:nsid w:val="52BF2DE7"/>
    <w:multiLevelType w:val="hybridMultilevel"/>
    <w:tmpl w:val="759081FC"/>
    <w:lvl w:ilvl="0" w:tplc="11AEAE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4">
    <w:nsid w:val="5DFE18D9"/>
    <w:multiLevelType w:val="hybridMultilevel"/>
    <w:tmpl w:val="E43EE48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613F7939"/>
    <w:multiLevelType w:val="hybridMultilevel"/>
    <w:tmpl w:val="223A613E"/>
    <w:lvl w:ilvl="0" w:tplc="3350D89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BB25C7B"/>
    <w:multiLevelType w:val="hybridMultilevel"/>
    <w:tmpl w:val="44ACF436"/>
    <w:lvl w:ilvl="0" w:tplc="D060A0B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683" w:hanging="360"/>
      </w:pPr>
    </w:lvl>
    <w:lvl w:ilvl="2" w:tplc="0415001B" w:tentative="1">
      <w:start w:val="1"/>
      <w:numFmt w:val="lowerRoman"/>
      <w:lvlText w:val="%3."/>
      <w:lvlJc w:val="right"/>
      <w:pPr>
        <w:ind w:left="-1963" w:hanging="180"/>
      </w:pPr>
    </w:lvl>
    <w:lvl w:ilvl="3" w:tplc="0415000F" w:tentative="1">
      <w:start w:val="1"/>
      <w:numFmt w:val="decimal"/>
      <w:lvlText w:val="%4."/>
      <w:lvlJc w:val="left"/>
      <w:pPr>
        <w:ind w:left="-1243" w:hanging="360"/>
      </w:pPr>
    </w:lvl>
    <w:lvl w:ilvl="4" w:tplc="04150019" w:tentative="1">
      <w:start w:val="1"/>
      <w:numFmt w:val="lowerLetter"/>
      <w:lvlText w:val="%5."/>
      <w:lvlJc w:val="left"/>
      <w:pPr>
        <w:ind w:left="-523" w:hanging="360"/>
      </w:pPr>
    </w:lvl>
    <w:lvl w:ilvl="5" w:tplc="0415001B" w:tentative="1">
      <w:start w:val="1"/>
      <w:numFmt w:val="lowerRoman"/>
      <w:lvlText w:val="%6."/>
      <w:lvlJc w:val="right"/>
      <w:pPr>
        <w:ind w:left="197" w:hanging="180"/>
      </w:pPr>
    </w:lvl>
    <w:lvl w:ilvl="6" w:tplc="0415000F" w:tentative="1">
      <w:start w:val="1"/>
      <w:numFmt w:val="decimal"/>
      <w:lvlText w:val="%7."/>
      <w:lvlJc w:val="left"/>
      <w:pPr>
        <w:ind w:left="917" w:hanging="360"/>
      </w:pPr>
    </w:lvl>
    <w:lvl w:ilvl="7" w:tplc="04150019" w:tentative="1">
      <w:start w:val="1"/>
      <w:numFmt w:val="lowerLetter"/>
      <w:lvlText w:val="%8."/>
      <w:lvlJc w:val="left"/>
      <w:pPr>
        <w:ind w:left="1637" w:hanging="360"/>
      </w:pPr>
    </w:lvl>
    <w:lvl w:ilvl="8" w:tplc="0415001B" w:tentative="1">
      <w:start w:val="1"/>
      <w:numFmt w:val="lowerRoman"/>
      <w:lvlText w:val="%9."/>
      <w:lvlJc w:val="right"/>
      <w:pPr>
        <w:ind w:left="2357" w:hanging="180"/>
      </w:pPr>
    </w:lvl>
  </w:abstractNum>
  <w:abstractNum w:abstractNumId="17">
    <w:nsid w:val="6DE40DBC"/>
    <w:multiLevelType w:val="hybridMultilevel"/>
    <w:tmpl w:val="517A36C2"/>
    <w:lvl w:ilvl="0" w:tplc="10305C5E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34B03"/>
    <w:multiLevelType w:val="hybridMultilevel"/>
    <w:tmpl w:val="35A09184"/>
    <w:lvl w:ilvl="0" w:tplc="E89C31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19">
    <w:nsid w:val="784C5B3B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7D4755FA"/>
    <w:multiLevelType w:val="hybridMultilevel"/>
    <w:tmpl w:val="44B2E15C"/>
    <w:lvl w:ilvl="0" w:tplc="C94052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8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16"/>
  </w:num>
  <w:num w:numId="10">
    <w:abstractNumId w:val="2"/>
  </w:num>
  <w:num w:numId="11">
    <w:abstractNumId w:val="9"/>
  </w:num>
  <w:num w:numId="12">
    <w:abstractNumId w:val="15"/>
  </w:num>
  <w:num w:numId="13">
    <w:abstractNumId w:val="10"/>
  </w:num>
  <w:num w:numId="14">
    <w:abstractNumId w:val="12"/>
  </w:num>
  <w:num w:numId="15">
    <w:abstractNumId w:val="20"/>
  </w:num>
  <w:num w:numId="16">
    <w:abstractNumId w:val="11"/>
  </w:num>
  <w:num w:numId="17">
    <w:abstractNumId w:val="14"/>
  </w:num>
  <w:num w:numId="18">
    <w:abstractNumId w:val="19"/>
  </w:num>
  <w:num w:numId="19">
    <w:abstractNumId w:val="1"/>
  </w:num>
  <w:num w:numId="20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63C73"/>
    <w:rsid w:val="000700CD"/>
    <w:rsid w:val="000739DE"/>
    <w:rsid w:val="000968E3"/>
    <w:rsid w:val="000A50BA"/>
    <w:rsid w:val="000C62F4"/>
    <w:rsid w:val="000E4807"/>
    <w:rsid w:val="000E5B22"/>
    <w:rsid w:val="000F3EE0"/>
    <w:rsid w:val="00110233"/>
    <w:rsid w:val="00115FD2"/>
    <w:rsid w:val="001351CC"/>
    <w:rsid w:val="0014079C"/>
    <w:rsid w:val="001418D0"/>
    <w:rsid w:val="00151F00"/>
    <w:rsid w:val="00164D53"/>
    <w:rsid w:val="00170D92"/>
    <w:rsid w:val="00176F19"/>
    <w:rsid w:val="001843B1"/>
    <w:rsid w:val="00185DC4"/>
    <w:rsid w:val="00197DD5"/>
    <w:rsid w:val="001E2DB9"/>
    <w:rsid w:val="001F5BC3"/>
    <w:rsid w:val="00211FE6"/>
    <w:rsid w:val="00220BBF"/>
    <w:rsid w:val="00220F8D"/>
    <w:rsid w:val="00224D99"/>
    <w:rsid w:val="00231D9D"/>
    <w:rsid w:val="00233164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0E88"/>
    <w:rsid w:val="0043296A"/>
    <w:rsid w:val="00447661"/>
    <w:rsid w:val="004563A9"/>
    <w:rsid w:val="00460556"/>
    <w:rsid w:val="00466232"/>
    <w:rsid w:val="0047304D"/>
    <w:rsid w:val="00491158"/>
    <w:rsid w:val="004931FC"/>
    <w:rsid w:val="004A12B7"/>
    <w:rsid w:val="004B2C76"/>
    <w:rsid w:val="004E0A77"/>
    <w:rsid w:val="004E14EC"/>
    <w:rsid w:val="004E653C"/>
    <w:rsid w:val="00500593"/>
    <w:rsid w:val="005059E8"/>
    <w:rsid w:val="005410F9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5F35D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31E1"/>
    <w:rsid w:val="00894A6F"/>
    <w:rsid w:val="008A0F9C"/>
    <w:rsid w:val="008B74B1"/>
    <w:rsid w:val="008C4086"/>
    <w:rsid w:val="008D36E2"/>
    <w:rsid w:val="008D3786"/>
    <w:rsid w:val="008F666B"/>
    <w:rsid w:val="0090234C"/>
    <w:rsid w:val="009060E4"/>
    <w:rsid w:val="00935E35"/>
    <w:rsid w:val="009450F7"/>
    <w:rsid w:val="009504C8"/>
    <w:rsid w:val="00972F85"/>
    <w:rsid w:val="009752FA"/>
    <w:rsid w:val="00976148"/>
    <w:rsid w:val="009872E7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87759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97CFF"/>
    <w:rsid w:val="00BA1124"/>
    <w:rsid w:val="00BB2BB3"/>
    <w:rsid w:val="00BD3FCB"/>
    <w:rsid w:val="00BE5A93"/>
    <w:rsid w:val="00BF3EBB"/>
    <w:rsid w:val="00C020DB"/>
    <w:rsid w:val="00C108FD"/>
    <w:rsid w:val="00C211A1"/>
    <w:rsid w:val="00C21F4E"/>
    <w:rsid w:val="00C23AE3"/>
    <w:rsid w:val="00C339B5"/>
    <w:rsid w:val="00C36019"/>
    <w:rsid w:val="00C40EF0"/>
    <w:rsid w:val="00C4274E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CF625C"/>
    <w:rsid w:val="00D03E12"/>
    <w:rsid w:val="00D24656"/>
    <w:rsid w:val="00D3211A"/>
    <w:rsid w:val="00D47926"/>
    <w:rsid w:val="00D549ED"/>
    <w:rsid w:val="00D71D39"/>
    <w:rsid w:val="00D80DBC"/>
    <w:rsid w:val="00D81DAA"/>
    <w:rsid w:val="00D929FF"/>
    <w:rsid w:val="00DB0DD2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77C78"/>
    <w:rsid w:val="00E8031A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326F7"/>
    <w:rsid w:val="00F40B0B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EE46-6DC4-4D90-A58C-EBC22961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3915</Words>
  <Characters>23492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2020-01-16T09:48:00Z</dcterms:created>
  <dcterms:modified xsi:type="dcterms:W3CDTF">2020-02-17T10:09:00Z</dcterms:modified>
</cp:coreProperties>
</file>